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общества с ограниченной ответственностью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«ВСМ Две Столицы»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left="0" w:right="0" w:firstLine="0"/>
        <w:jc w:val="both"/>
        <w:spacing w:before="0" w:after="225" w:line="221" w:lineRule="auto"/>
        <w:shd w:val="clear" w:color="ffffff" w:fill="ffffff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      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) настоящим сообщает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, что 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в целях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размещения объекта: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Санкт-Петербург — Москва (участок Крюково (Алабушево) — Обухово)». 6 этап — Строительство участка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Новая Тверь (вкл.) — Высоково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от 30.07.2004 № 397, на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основании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«Создание высокоскоростной железнодорожной магистрали Санкт-Петербург — Москва (участок Крюково (Алабушево) — Обухово)». 6 этап — Строительство участка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Новая Тверь (вкл.) — Высоково (искл.)»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color w:val="000000" w:themeColor="text1"/>
          <w:sz w:val="28"/>
          <w:szCs w:val="28"/>
          <w:lang w:eastAsia="zh-CN" w:bidi="hi-IN"/>
        </w:rPr>
        <w:t xml:space="preserve"> утвержденной распоряжением Росжелдора от 08.12.2022 №ВЛ-432-р </w:t>
        <w:br/>
        <w:t xml:space="preserve">с изменениями от 25.04.2025 №АБ-334-р и от 18.08.2025 №АБ-789-р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ООО «ВСМ Две Столицы» (ОГРН 1247700011900, ИНН 9726064201; ул. Крылатская, д. 17, к. 2, вн.тер.г. муниципальный округ Крылатское,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г. Москва, 1216144, e-mail: info@vsm2stl.ru; телефон: 8 (499) 429-09-59) следующие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земельные участки:</w:t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tbl>
      <w:tblPr>
        <w:tblW w:w="10215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2693"/>
        <w:gridCol w:w="3522"/>
        <w:gridCol w:w="1559"/>
        <w:gridCol w:w="2006"/>
      </w:tblGrid>
      <w:tr>
        <w:tblPrEx/>
        <w:trPr>
          <w:trHeight w:val="1418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Кадастровый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3522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006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подлежащего образованию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изъятию,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33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pStyle w:val="83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50:03:0020180:196 </w:t>
              <w:br/>
              <w:t xml:space="preserve">(ЕЗП </w:t>
            </w:r>
            <w:r>
              <w:rPr>
                <w:rFonts w:ascii="Times New Roman" w:hAnsi="Times New Roman" w:eastAsia="Times New Roman" w:cs="Times New Roman"/>
              </w:rPr>
              <w:t xml:space="preserve">50:03:0000000:145)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35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33" w:lineRule="auto"/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Местоположение установлено относительно ориентира, расположенного в границах участка. Почтовый</w:t>
            </w:r>
            <w:r/>
          </w:p>
          <w:p>
            <w:pPr>
              <w:jc w:val="center"/>
              <w:spacing w:after="0" w:afterAutospacing="0" w:line="233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white"/>
              </w:rPr>
              <w:t xml:space="preserve">адрес ориентира: обл. Московская, р-н Клинский, АОЗТ "Земледелец".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33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2787330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006" w:type="dxa"/>
            <w:vAlign w:val="center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  <w14:ligatures w14:val="none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33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83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50:03:0020180:196 </w:t>
              <w:br/>
              <w:t xml:space="preserve">и 50:03:0020180:195</w:t>
              <w:br/>
              <w:t xml:space="preserve">(ЕЗП </w:t>
            </w:r>
            <w:r>
              <w:rPr>
                <w:rFonts w:ascii="Times New Roman" w:hAnsi="Times New Roman" w:eastAsia="Times New Roman" w:cs="Times New Roman"/>
              </w:rPr>
              <w:t xml:space="preserve">50:03:0000000:145)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352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W w:w="435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33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pStyle w:val="830"/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50:03:0020180:195 </w:t>
              <w:br/>
              <w:t xml:space="preserve">(ЕЗП </w:t>
            </w:r>
            <w:r>
              <w:rPr>
                <w:rFonts w:ascii="Times New Roman" w:hAnsi="Times New Roman" w:eastAsia="Times New Roman" w:cs="Times New Roman"/>
              </w:rPr>
              <w:t xml:space="preserve">50:03:0000000:145)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352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5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33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ind w:left="0" w:right="0" w:firstLine="0"/>
        <w:jc w:val="both"/>
        <w:spacing w:before="0" w:after="225" w:line="221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1952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52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left="0" w:right="0" w:firstLine="0"/>
              <w:jc w:val="center"/>
              <w:spacing w:line="252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аспоряжение Росжелдора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т 08.12.2022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№ ВЛ-432-р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 утверждении изменений в документацию по планировке территории (проект планировки территории и проект межевания территории) для объекта «Создание высокоскоростной железнодорожной магистрали Санкт-Петербург — Москва (участок Крюково (Алабушево) — Обухово)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». </w:t>
              <w:br/>
              <w:t xml:space="preserve">6 этап — Строительство участка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Новая Тверь (вкл.) — Высоково (искл.)»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с изменениями, внесенными распоряжением Федерального агентства железнодорожного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тр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ан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спорта </w:t>
              <w:br/>
              <w:t xml:space="preserve">от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zh-CN" w:bidi="hi-IN"/>
              </w:rPr>
              <w:t xml:space="preserve"> 25.04.2025 №АБ-334-р и от 18.08.2025 №АБ-789-р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</w:r>
            <w:r>
              <w:rPr>
                <w:rFonts w:ascii="Times New Roman" w:hAnsi="Times New Roman" w:eastAsia="SimSun" w:cs="Times New Roman"/>
                <w:sz w:val="22"/>
                <w:szCs w:val="22"/>
              </w:rPr>
            </w:r>
          </w:p>
        </w:tc>
      </w:tr>
    </w:tbl>
    <w:p>
      <w:pPr>
        <w:ind w:left="0" w:right="0" w:firstLine="0"/>
        <w:jc w:val="both"/>
        <w:spacing w:before="0" w:after="225" w:line="221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>
          <w:jc w:val="center"/>
          <w:trHeight w:val="3101"/>
        </w:trPr>
        <w:tc>
          <w:tcPr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info@roszeldor.ru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ООО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«ВСМ Две Столицы»,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undefined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  <w:lang w:eastAsia="zh-CN" w:bidi="hi-IN"/>
              </w:rPr>
              <w:t xml:space="preserve">дм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инистрация городского округа Клин Московской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 </w:t>
            </w:r>
            <w:hyperlink r:id="rId10" w:tooltip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w:history="1">
              <w:r>
                <w:rPr>
                  <w:rStyle w:val="842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, </w:t>
              </w:r>
              <w:r>
                <w:rPr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4"/>
                  <w:szCs w:val="24"/>
                  <w:highlight w:val="white"/>
                </w:rPr>
                <w:t xml:space="preserve">141600 Московская область, г. Клин, ул. Карла Макса, д. 68-А</w:t>
              </w:r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2"/>
                  <w:szCs w:val="22"/>
                  <w:highlight w:val="yellow"/>
                  <w:u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8 (49624) 2-76-00, 2-24-69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; </w:t>
              <w:br/>
              <w:t xml:space="preserve">электронная почта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hyperlink r:id="rId11" w:tooltip="mailto:klin@mosreg.ru" w:history="1">
              <w:r>
                <w:rPr>
                  <w:rStyle w:val="842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u w:val="single"/>
                </w:rPr>
                <w:t xml:space="preserve">klin@mosreg.ru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yellow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757"/>
      </w:tblGrid>
      <w:tr>
        <w:tblPrEx/>
        <w:trPr>
          <w:jc w:val="center"/>
          <w:trHeight w:val="1547"/>
        </w:trPr>
        <w:tc>
          <w:tcPr>
            <w:gridSpan w:val="2"/>
            <w:shd w:val="clear" w:color="ffffff" w:fill="ffffff"/>
            <w:tcW w:w="9781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2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</w:t>
            </w:r>
            <w:r>
              <w:t xml:space="preserve"> </w:t>
            </w:r>
            <w:hyperlink r:id="rId13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ffffff" w:fill="ffffff"/>
            <w:tcW w:w="97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yellow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  <w:lang w:eastAsia="zh-CN" w:bidi="hi-IN"/>
              </w:rPr>
              <w:t xml:space="preserve">Администрацию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lang w:eastAsia="zh-CN" w:bidi="hi-IN"/>
              </w:rPr>
              <w:t xml:space="preserve">городского округа Клин Московской области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 письмами </w:t>
              <w:br/>
              <w:t xml:space="preserve">о</w:t>
            </w:r>
            <w:r>
              <w:rPr>
                <w:rFonts w:ascii="Times New Roman" w:hAnsi="Times New Roman" w:eastAsia="SimSun" w:cs="Times New Roman"/>
                <w:bCs/>
                <w:highlight w:val="white"/>
                <w:lang w:eastAsia="zh-CN" w:bidi="hi-IN"/>
              </w:rPr>
              <w:t xml:space="preserve">т 13.12.2022 № ВЛ-29/12675-ис, 3910, от 29.04.2025 №УЗИП-3/2075 и от 21.08.2025 №УЗИП-3</w:t>
            </w: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  <w:t xml:space="preserve">/3776</w:t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  <w:r>
              <w:rPr>
                <w:rFonts w:ascii="Times New Roman" w:hAnsi="Times New Roman" w:eastAsia="SimSun" w:cs="Times New Roman"/>
                <w:highlight w:val="yellow"/>
              </w:rPr>
            </w:r>
          </w:p>
        </w:tc>
      </w:tr>
    </w:tbl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p>
      <w:pPr>
        <w:ind w:left="0" w:right="-33" w:firstLine="709"/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45" w:customStyle="1">
    <w:name w:val="Body Text"/>
    <w:basedOn w:val="83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yandex.ru/maps/?source=exp-counterparty_entity&amp;text=170508,%20%D0%A2%D0%B2%D0%B5%D1%80%D1%81%D0%BA%D0%B0%D1%8F%20%D0%9E%D0%B1%D0%BB%D0%B0%D1%81%D1%82%D1%8C,%20%D0%BC.%D0%BE.%20%D0%9A%D0%B0%D0%BB%D0%B8%D0%BD%D0%B8%D0%BD%D1%81%D0%BA%D0%B8%D0%B9,%20%D0%BF%20%D0%97%D0%B0%D0%B2%D0%BE%D0%BB%D0%B6%D1%81%D0%BA%D0%B8%D0%B9,%20%D0%B4.%202" TargetMode="External"/><Relationship Id="rId11" Type="http://schemas.openxmlformats.org/officeDocument/2006/relationships/hyperlink" Target="mailto:klin@mosreg.ru" TargetMode="External"/><Relationship Id="rId12" Type="http://schemas.openxmlformats.org/officeDocument/2006/relationships/hyperlink" Target="https://rlw.gov.ru" TargetMode="External"/><Relationship Id="rId13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41</cp:revision>
  <dcterms:created xsi:type="dcterms:W3CDTF">2024-07-09T09:03:00Z</dcterms:created>
  <dcterms:modified xsi:type="dcterms:W3CDTF">2025-10-14T07:55:43Z</dcterms:modified>
</cp:coreProperties>
</file>